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Override1.xml" ContentType="application/vnd.openxmlformats-officedocument.themeOverride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61" w:rsidRPr="008B5761" w:rsidRDefault="00007407" w:rsidP="00C4107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Community Services Block Grant</w:t>
      </w:r>
      <w:r w:rsidR="00C1083B">
        <w:rPr>
          <w:b/>
          <w:sz w:val="44"/>
          <w:szCs w:val="44"/>
        </w:rPr>
        <w:t xml:space="preserve"> (CSBG)</w:t>
      </w:r>
    </w:p>
    <w:p w:rsidR="00AD2CA3" w:rsidRDefault="00007407" w:rsidP="00C4107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Organizational Standards</w:t>
      </w:r>
      <w:r w:rsidR="00C41070" w:rsidRPr="008B5761">
        <w:rPr>
          <w:b/>
          <w:sz w:val="44"/>
          <w:szCs w:val="44"/>
        </w:rPr>
        <w:t xml:space="preserve"> </w:t>
      </w:r>
      <w:r w:rsidR="00774E1F">
        <w:rPr>
          <w:b/>
          <w:sz w:val="44"/>
          <w:szCs w:val="44"/>
        </w:rPr>
        <w:t>by Category</w:t>
      </w:r>
    </w:p>
    <w:p w:rsidR="00C41070" w:rsidRDefault="00014809" w:rsidP="00C4107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New York</w:t>
      </w:r>
      <w:r w:rsidR="00AD2CA3">
        <w:rPr>
          <w:b/>
          <w:sz w:val="44"/>
          <w:szCs w:val="44"/>
        </w:rPr>
        <w:t xml:space="preserve"> Preliminary </w:t>
      </w:r>
      <w:r w:rsidR="00007407">
        <w:rPr>
          <w:b/>
          <w:sz w:val="44"/>
          <w:szCs w:val="44"/>
        </w:rPr>
        <w:t>“</w:t>
      </w:r>
      <w:r w:rsidR="00C41070" w:rsidRPr="008B5761">
        <w:rPr>
          <w:b/>
          <w:sz w:val="44"/>
          <w:szCs w:val="44"/>
        </w:rPr>
        <w:t>Snapshot</w:t>
      </w:r>
      <w:r w:rsidR="008B5761" w:rsidRPr="008B5761">
        <w:rPr>
          <w:b/>
          <w:sz w:val="44"/>
          <w:szCs w:val="44"/>
        </w:rPr>
        <w:t>”</w:t>
      </w:r>
      <w:r w:rsidR="001A4727">
        <w:rPr>
          <w:rStyle w:val="FootnoteReference"/>
          <w:b/>
          <w:sz w:val="44"/>
          <w:szCs w:val="44"/>
        </w:rPr>
        <w:footnoteReference w:id="1"/>
      </w:r>
    </w:p>
    <w:p w:rsidR="008231EA" w:rsidRDefault="008231EA" w:rsidP="00444349">
      <w:pPr>
        <w:rPr>
          <w:sz w:val="24"/>
          <w:szCs w:val="24"/>
        </w:rPr>
      </w:pPr>
    </w:p>
    <w:p w:rsidR="00444349" w:rsidRPr="00FA6837" w:rsidRDefault="00444349" w:rsidP="00444349">
      <w:pPr>
        <w:rPr>
          <w:sz w:val="24"/>
          <w:szCs w:val="24"/>
        </w:rPr>
      </w:pPr>
      <w:r w:rsidRPr="00FA6837">
        <w:rPr>
          <w:sz w:val="24"/>
          <w:szCs w:val="24"/>
        </w:rPr>
        <w:t xml:space="preserve">Number of eligible entities: </w:t>
      </w:r>
      <w:r w:rsidR="00014809">
        <w:rPr>
          <w:sz w:val="24"/>
          <w:szCs w:val="24"/>
        </w:rPr>
        <w:t>49</w:t>
      </w:r>
    </w:p>
    <w:p w:rsidR="00444349" w:rsidRPr="00FA6837" w:rsidRDefault="00444349" w:rsidP="00444349">
      <w:pPr>
        <w:rPr>
          <w:sz w:val="24"/>
          <w:szCs w:val="24"/>
        </w:rPr>
      </w:pPr>
      <w:r w:rsidRPr="00FA6837">
        <w:rPr>
          <w:sz w:val="24"/>
          <w:szCs w:val="24"/>
        </w:rPr>
        <w:t xml:space="preserve">Number of eligible entities assessed: </w:t>
      </w:r>
      <w:r w:rsidR="00014809">
        <w:rPr>
          <w:sz w:val="24"/>
          <w:szCs w:val="24"/>
        </w:rPr>
        <w:t>49</w:t>
      </w:r>
    </w:p>
    <w:p w:rsidR="000C0A7B" w:rsidRDefault="008231EA" w:rsidP="000C0A7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71774F" wp14:editId="7EFAF99F">
            <wp:simplePos x="0" y="0"/>
            <wp:positionH relativeFrom="column">
              <wp:posOffset>-180975</wp:posOffset>
            </wp:positionH>
            <wp:positionV relativeFrom="paragraph">
              <wp:posOffset>359410</wp:posOffset>
            </wp:positionV>
            <wp:extent cx="6153150" cy="46482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349" w:rsidRPr="00FA6837">
        <w:rPr>
          <w:sz w:val="24"/>
          <w:szCs w:val="24"/>
        </w:rPr>
        <w:t>Percent</w:t>
      </w:r>
      <w:r w:rsidR="00735280">
        <w:rPr>
          <w:sz w:val="24"/>
          <w:szCs w:val="24"/>
        </w:rPr>
        <w:t xml:space="preserve"> of eligible entities assessed:</w:t>
      </w:r>
      <w:r w:rsidR="00AC71C6">
        <w:rPr>
          <w:sz w:val="24"/>
          <w:szCs w:val="24"/>
        </w:rPr>
        <w:t xml:space="preserve"> </w:t>
      </w:r>
      <w:r w:rsidR="00014809">
        <w:rPr>
          <w:sz w:val="24"/>
          <w:szCs w:val="24"/>
        </w:rPr>
        <w:t>10</w:t>
      </w:r>
      <w:r w:rsidR="00735280">
        <w:rPr>
          <w:sz w:val="24"/>
          <w:szCs w:val="24"/>
        </w:rPr>
        <w:t>0</w:t>
      </w:r>
      <w:r w:rsidRPr="002E2F2F">
        <w:rPr>
          <w:sz w:val="24"/>
          <w:szCs w:val="24"/>
        </w:rPr>
        <w:t>%</w:t>
      </w:r>
      <w:r w:rsidR="00444349">
        <w:rPr>
          <w:color w:val="76923C" w:themeColor="accent3" w:themeShade="BF"/>
          <w:sz w:val="24"/>
          <w:szCs w:val="24"/>
        </w:rPr>
        <w:br/>
      </w:r>
      <w:bookmarkStart w:id="0" w:name="_GoBack"/>
      <w:bookmarkEnd w:id="0"/>
    </w:p>
    <w:p w:rsidR="001A4727" w:rsidRDefault="000C0A7B" w:rsidP="000C0A7B">
      <w:pPr>
        <w:rPr>
          <w:sz w:val="20"/>
          <w:szCs w:val="20"/>
        </w:rPr>
      </w:pPr>
      <w:r>
        <w:rPr>
          <w:sz w:val="20"/>
          <w:szCs w:val="20"/>
        </w:rPr>
        <w:t xml:space="preserve">Note: </w:t>
      </w:r>
      <w:r w:rsidR="0047154C">
        <w:rPr>
          <w:sz w:val="20"/>
          <w:szCs w:val="20"/>
        </w:rPr>
        <w:t>The r</w:t>
      </w:r>
      <w:r w:rsidR="00007407">
        <w:rPr>
          <w:sz w:val="20"/>
          <w:szCs w:val="20"/>
        </w:rPr>
        <w:t xml:space="preserve">esults </w:t>
      </w:r>
      <w:r>
        <w:rPr>
          <w:sz w:val="20"/>
          <w:szCs w:val="20"/>
        </w:rPr>
        <w:t xml:space="preserve">provided </w:t>
      </w:r>
      <w:r w:rsidR="00007407">
        <w:rPr>
          <w:sz w:val="20"/>
          <w:szCs w:val="20"/>
        </w:rPr>
        <w:t>above</w:t>
      </w:r>
      <w:r w:rsidR="008B5761" w:rsidRPr="008B5761">
        <w:rPr>
          <w:sz w:val="20"/>
          <w:szCs w:val="20"/>
        </w:rPr>
        <w:t xml:space="preserve"> are based on the </w:t>
      </w:r>
      <w:r w:rsidR="008B5761">
        <w:rPr>
          <w:sz w:val="20"/>
          <w:szCs w:val="20"/>
        </w:rPr>
        <w:t xml:space="preserve">state’s </w:t>
      </w:r>
      <w:r w:rsidR="008B5761" w:rsidRPr="008B5761">
        <w:rPr>
          <w:sz w:val="20"/>
          <w:szCs w:val="20"/>
        </w:rPr>
        <w:t xml:space="preserve">FY 2016 CSBG Annual Report Module 1 responses </w:t>
      </w:r>
      <w:r w:rsidR="008B5761">
        <w:rPr>
          <w:sz w:val="20"/>
          <w:szCs w:val="20"/>
        </w:rPr>
        <w:t xml:space="preserve">to question </w:t>
      </w:r>
      <w:r w:rsidR="002E2F2F">
        <w:rPr>
          <w:sz w:val="20"/>
          <w:szCs w:val="20"/>
        </w:rPr>
        <w:t xml:space="preserve">D.2b, </w:t>
      </w:r>
      <w:r w:rsidR="002E2F2F" w:rsidRPr="002E2F2F">
        <w:rPr>
          <w:i/>
          <w:sz w:val="20"/>
          <w:szCs w:val="20"/>
        </w:rPr>
        <w:t>Percentage meeting Organizational Standards by Category</w:t>
      </w:r>
      <w:r w:rsidR="002E2F2F">
        <w:rPr>
          <w:sz w:val="20"/>
          <w:szCs w:val="20"/>
        </w:rPr>
        <w:t>.</w:t>
      </w:r>
      <w:r w:rsidR="005948EB">
        <w:rPr>
          <w:sz w:val="20"/>
          <w:szCs w:val="20"/>
        </w:rPr>
        <w:t xml:space="preserve"> </w:t>
      </w:r>
      <w:r w:rsidR="008B5761">
        <w:rPr>
          <w:sz w:val="20"/>
          <w:szCs w:val="20"/>
        </w:rPr>
        <w:t xml:space="preserve">Percentages reflect the number of CSBG eligible entities that met </w:t>
      </w:r>
      <w:r w:rsidR="00D41255">
        <w:rPr>
          <w:sz w:val="20"/>
          <w:szCs w:val="20"/>
        </w:rPr>
        <w:t>all</w:t>
      </w:r>
      <w:r w:rsidR="00774E1F">
        <w:rPr>
          <w:sz w:val="20"/>
          <w:szCs w:val="20"/>
        </w:rPr>
        <w:t xml:space="preserve"> standards in each category</w:t>
      </w:r>
      <w:r w:rsidR="008B5761">
        <w:rPr>
          <w:sz w:val="20"/>
          <w:szCs w:val="20"/>
        </w:rPr>
        <w:t>.</w:t>
      </w:r>
      <w:r w:rsidR="005948EB">
        <w:rPr>
          <w:sz w:val="20"/>
          <w:szCs w:val="20"/>
        </w:rPr>
        <w:t xml:space="preserve"> </w:t>
      </w:r>
      <w:r w:rsidR="008B5761">
        <w:rPr>
          <w:sz w:val="20"/>
          <w:szCs w:val="20"/>
        </w:rPr>
        <w:t>Nation</w:t>
      </w:r>
      <w:r w:rsidR="006C320D">
        <w:rPr>
          <w:sz w:val="20"/>
          <w:szCs w:val="20"/>
        </w:rPr>
        <w:t>al</w:t>
      </w:r>
      <w:r w:rsidR="008B5761">
        <w:rPr>
          <w:sz w:val="20"/>
          <w:szCs w:val="20"/>
        </w:rPr>
        <w:t xml:space="preserve"> </w:t>
      </w:r>
      <w:r w:rsidR="006C320D">
        <w:rPr>
          <w:sz w:val="20"/>
          <w:szCs w:val="20"/>
        </w:rPr>
        <w:t xml:space="preserve">averages </w:t>
      </w:r>
      <w:r w:rsidR="008B5761">
        <w:rPr>
          <w:sz w:val="20"/>
          <w:szCs w:val="20"/>
        </w:rPr>
        <w:t>are based on the numbe</w:t>
      </w:r>
      <w:r w:rsidR="00007407">
        <w:rPr>
          <w:sz w:val="20"/>
          <w:szCs w:val="20"/>
        </w:rPr>
        <w:t>r of eligible entities reported to have met the standards divided by the total number assesse</w:t>
      </w:r>
      <w:r w:rsidR="0047154C">
        <w:rPr>
          <w:sz w:val="20"/>
          <w:szCs w:val="20"/>
        </w:rPr>
        <w:t>d</w:t>
      </w:r>
      <w:r w:rsidR="00007407">
        <w:rPr>
          <w:sz w:val="20"/>
          <w:szCs w:val="20"/>
        </w:rPr>
        <w:t xml:space="preserve">. </w:t>
      </w:r>
      <w:r w:rsidR="0047154C">
        <w:rPr>
          <w:sz w:val="20"/>
          <w:szCs w:val="20"/>
        </w:rPr>
        <w:t>Data for FY 2016</w:t>
      </w:r>
      <w:r w:rsidR="006C320D">
        <w:rPr>
          <w:sz w:val="20"/>
          <w:szCs w:val="20"/>
        </w:rPr>
        <w:t>,</w:t>
      </w:r>
      <w:r w:rsidR="0047154C">
        <w:rPr>
          <w:sz w:val="20"/>
          <w:szCs w:val="20"/>
        </w:rPr>
        <w:t xml:space="preserve"> b</w:t>
      </w:r>
      <w:r w:rsidR="00007407">
        <w:rPr>
          <w:sz w:val="20"/>
          <w:szCs w:val="20"/>
        </w:rPr>
        <w:t xml:space="preserve">oth the national and state </w:t>
      </w:r>
      <w:r w:rsidR="00C1083B">
        <w:rPr>
          <w:sz w:val="20"/>
          <w:szCs w:val="20"/>
        </w:rPr>
        <w:t>numbers</w:t>
      </w:r>
      <w:r w:rsidR="00007407">
        <w:rPr>
          <w:sz w:val="20"/>
          <w:szCs w:val="20"/>
        </w:rPr>
        <w:t xml:space="preserve"> </w:t>
      </w:r>
      <w:r w:rsidR="0047154C">
        <w:rPr>
          <w:sz w:val="20"/>
          <w:szCs w:val="20"/>
        </w:rPr>
        <w:t xml:space="preserve">are provisional </w:t>
      </w:r>
      <w:r w:rsidR="00C1083B">
        <w:rPr>
          <w:sz w:val="20"/>
          <w:szCs w:val="20"/>
        </w:rPr>
        <w:t xml:space="preserve">and </w:t>
      </w:r>
      <w:r w:rsidR="00007407">
        <w:rPr>
          <w:sz w:val="20"/>
          <w:szCs w:val="20"/>
        </w:rPr>
        <w:t xml:space="preserve">may change based on </w:t>
      </w:r>
      <w:r w:rsidR="00FB6CE1">
        <w:rPr>
          <w:sz w:val="20"/>
          <w:szCs w:val="20"/>
        </w:rPr>
        <w:t>s</w:t>
      </w:r>
      <w:r w:rsidR="00007407">
        <w:rPr>
          <w:sz w:val="20"/>
          <w:szCs w:val="20"/>
        </w:rPr>
        <w:t xml:space="preserve">tate updates or clarifications.  </w:t>
      </w:r>
    </w:p>
    <w:p w:rsidR="00C0527D" w:rsidRDefault="00C0527D" w:rsidP="00007407">
      <w:pPr>
        <w:jc w:val="center"/>
      </w:pPr>
    </w:p>
    <w:sectPr w:rsidR="00C0527D" w:rsidSect="00A23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75" w:rsidRDefault="00140075" w:rsidP="001A4727">
      <w:r>
        <w:separator/>
      </w:r>
    </w:p>
  </w:endnote>
  <w:endnote w:type="continuationSeparator" w:id="0">
    <w:p w:rsidR="00140075" w:rsidRDefault="00140075" w:rsidP="001A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75" w:rsidRDefault="00140075" w:rsidP="001A4727">
      <w:r>
        <w:separator/>
      </w:r>
    </w:p>
  </w:footnote>
  <w:footnote w:type="continuationSeparator" w:id="0">
    <w:p w:rsidR="00140075" w:rsidRDefault="00140075" w:rsidP="001A4727">
      <w:r>
        <w:continuationSeparator/>
      </w:r>
    </w:p>
  </w:footnote>
  <w:footnote w:id="1">
    <w:p w:rsidR="001A4727" w:rsidRDefault="001A47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A4727">
        <w:t>Preliminary baseline results are presented for discussion and planning purposes only and may reflect a variety of factors specific to a state.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70"/>
    <w:rsid w:val="00007407"/>
    <w:rsid w:val="00011F71"/>
    <w:rsid w:val="000128E4"/>
    <w:rsid w:val="00014809"/>
    <w:rsid w:val="000623F1"/>
    <w:rsid w:val="0009300F"/>
    <w:rsid w:val="000C0A7B"/>
    <w:rsid w:val="000F1B28"/>
    <w:rsid w:val="00103BB6"/>
    <w:rsid w:val="001301A7"/>
    <w:rsid w:val="00140075"/>
    <w:rsid w:val="00143EAA"/>
    <w:rsid w:val="00172095"/>
    <w:rsid w:val="00182B4F"/>
    <w:rsid w:val="001A0BA4"/>
    <w:rsid w:val="001A4727"/>
    <w:rsid w:val="001C4E73"/>
    <w:rsid w:val="00230ABC"/>
    <w:rsid w:val="002505F6"/>
    <w:rsid w:val="00272742"/>
    <w:rsid w:val="00293CA7"/>
    <w:rsid w:val="002C01FC"/>
    <w:rsid w:val="002E2F2F"/>
    <w:rsid w:val="00341266"/>
    <w:rsid w:val="00383B11"/>
    <w:rsid w:val="003B54A8"/>
    <w:rsid w:val="003F45D6"/>
    <w:rsid w:val="004356BD"/>
    <w:rsid w:val="00444349"/>
    <w:rsid w:val="0047154C"/>
    <w:rsid w:val="00481559"/>
    <w:rsid w:val="004D2D74"/>
    <w:rsid w:val="004E7EAC"/>
    <w:rsid w:val="00501B7D"/>
    <w:rsid w:val="00553F93"/>
    <w:rsid w:val="005948EB"/>
    <w:rsid w:val="005B5658"/>
    <w:rsid w:val="005D5D91"/>
    <w:rsid w:val="006052F2"/>
    <w:rsid w:val="006322FD"/>
    <w:rsid w:val="006414C1"/>
    <w:rsid w:val="00652A94"/>
    <w:rsid w:val="0065565F"/>
    <w:rsid w:val="006B214E"/>
    <w:rsid w:val="006B3C78"/>
    <w:rsid w:val="006C320D"/>
    <w:rsid w:val="006D029C"/>
    <w:rsid w:val="006D07B8"/>
    <w:rsid w:val="006D3592"/>
    <w:rsid w:val="006E5D62"/>
    <w:rsid w:val="006F1C60"/>
    <w:rsid w:val="006F6D86"/>
    <w:rsid w:val="007038C4"/>
    <w:rsid w:val="00735280"/>
    <w:rsid w:val="00774E1F"/>
    <w:rsid w:val="0079253A"/>
    <w:rsid w:val="007D1A67"/>
    <w:rsid w:val="007F112B"/>
    <w:rsid w:val="007F18F0"/>
    <w:rsid w:val="008231EA"/>
    <w:rsid w:val="008919EC"/>
    <w:rsid w:val="00891BCF"/>
    <w:rsid w:val="008A2144"/>
    <w:rsid w:val="008A3788"/>
    <w:rsid w:val="008B5761"/>
    <w:rsid w:val="008D365E"/>
    <w:rsid w:val="008E2C9A"/>
    <w:rsid w:val="008F1435"/>
    <w:rsid w:val="0092438F"/>
    <w:rsid w:val="00945CD8"/>
    <w:rsid w:val="00965D9F"/>
    <w:rsid w:val="009825DC"/>
    <w:rsid w:val="009933F5"/>
    <w:rsid w:val="009D2F6F"/>
    <w:rsid w:val="009E2DFD"/>
    <w:rsid w:val="00A005D5"/>
    <w:rsid w:val="00A23F3E"/>
    <w:rsid w:val="00A97116"/>
    <w:rsid w:val="00AC71C6"/>
    <w:rsid w:val="00AD2CA3"/>
    <w:rsid w:val="00AD4EB8"/>
    <w:rsid w:val="00AE49C7"/>
    <w:rsid w:val="00AE6093"/>
    <w:rsid w:val="00B11803"/>
    <w:rsid w:val="00B30D4C"/>
    <w:rsid w:val="00B4595C"/>
    <w:rsid w:val="00B52A60"/>
    <w:rsid w:val="00B81691"/>
    <w:rsid w:val="00B93ABC"/>
    <w:rsid w:val="00BA2987"/>
    <w:rsid w:val="00BE795A"/>
    <w:rsid w:val="00C0527D"/>
    <w:rsid w:val="00C1083B"/>
    <w:rsid w:val="00C265BF"/>
    <w:rsid w:val="00C362D6"/>
    <w:rsid w:val="00C41070"/>
    <w:rsid w:val="00CC3C9D"/>
    <w:rsid w:val="00CE2109"/>
    <w:rsid w:val="00D01FC3"/>
    <w:rsid w:val="00D153C5"/>
    <w:rsid w:val="00D41255"/>
    <w:rsid w:val="00D65788"/>
    <w:rsid w:val="00D661E0"/>
    <w:rsid w:val="00DE7DDC"/>
    <w:rsid w:val="00DF712B"/>
    <w:rsid w:val="00E4445E"/>
    <w:rsid w:val="00E6025D"/>
    <w:rsid w:val="00E946EE"/>
    <w:rsid w:val="00ED74AC"/>
    <w:rsid w:val="00EE6683"/>
    <w:rsid w:val="00F16AA0"/>
    <w:rsid w:val="00F33D7B"/>
    <w:rsid w:val="00F517B8"/>
    <w:rsid w:val="00F7067A"/>
    <w:rsid w:val="00FA53BF"/>
    <w:rsid w:val="00FB6CE1"/>
    <w:rsid w:val="00FE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1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1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1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12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47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47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4727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230AB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1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1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1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12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47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47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4727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230AB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400"/>
              <a:t>Baseline</a:t>
            </a:r>
            <a:r>
              <a:rPr lang="en-US" sz="1400" baseline="0"/>
              <a:t> Percentage of CSBG Organizational Standards Met by CSBG Eligible Entities (by Category) - Module 1, FY 2016</a:t>
            </a:r>
            <a:endParaRPr lang="en-US" sz="14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National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Sheet1!$A$2:$A$10</c:f>
              <c:strCache>
                <c:ptCount val="9"/>
                <c:pt idx="0">
                  <c:v>Consumer Input &amp; Involvement</c:v>
                </c:pt>
                <c:pt idx="1">
                  <c:v>Community Engagement</c:v>
                </c:pt>
                <c:pt idx="2">
                  <c:v>Community Assessment</c:v>
                </c:pt>
                <c:pt idx="3">
                  <c:v>Organizational Leadership</c:v>
                </c:pt>
                <c:pt idx="4">
                  <c:v>Board Governance</c:v>
                </c:pt>
                <c:pt idx="5">
                  <c:v>Strategic Planning</c:v>
                </c:pt>
                <c:pt idx="6">
                  <c:v>Human Resource Management</c:v>
                </c:pt>
                <c:pt idx="7">
                  <c:v>Financial Operations and Oversight</c:v>
                </c:pt>
                <c:pt idx="8">
                  <c:v>Data and Analysis</c:v>
                </c:pt>
              </c:strCache>
            </c:strRef>
          </c:cat>
          <c:val>
            <c:numRef>
              <c:f>Sheet1!$B$2:$B$10</c:f>
              <c:numCache>
                <c:formatCode>0%</c:formatCode>
                <c:ptCount val="9"/>
                <c:pt idx="0">
                  <c:v>0.67</c:v>
                </c:pt>
                <c:pt idx="1">
                  <c:v>0.75</c:v>
                </c:pt>
                <c:pt idx="2">
                  <c:v>0.66</c:v>
                </c:pt>
                <c:pt idx="3">
                  <c:v>0.48</c:v>
                </c:pt>
                <c:pt idx="4">
                  <c:v>0.56000000000000005</c:v>
                </c:pt>
                <c:pt idx="5">
                  <c:v>0.5</c:v>
                </c:pt>
                <c:pt idx="6">
                  <c:v>0.56000000000000005</c:v>
                </c:pt>
                <c:pt idx="7">
                  <c:v>0.56999999999999995</c:v>
                </c:pt>
                <c:pt idx="8">
                  <c:v>0.73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New York</c:v>
                </c:pt>
              </c:strCache>
            </c:strRef>
          </c:tx>
          <c:spPr>
            <a:solidFill>
              <a:srgbClr val="4F81BD">
                <a:lumMod val="50000"/>
              </a:srgbClr>
            </a:solidFill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Sheet1!$A$2:$A$10</c:f>
              <c:strCache>
                <c:ptCount val="9"/>
                <c:pt idx="0">
                  <c:v>Consumer Input &amp; Involvement</c:v>
                </c:pt>
                <c:pt idx="1">
                  <c:v>Community Engagement</c:v>
                </c:pt>
                <c:pt idx="2">
                  <c:v>Community Assessment</c:v>
                </c:pt>
                <c:pt idx="3">
                  <c:v>Organizational Leadership</c:v>
                </c:pt>
                <c:pt idx="4">
                  <c:v>Board Governance</c:v>
                </c:pt>
                <c:pt idx="5">
                  <c:v>Strategic Planning</c:v>
                </c:pt>
                <c:pt idx="6">
                  <c:v>Human Resource Management</c:v>
                </c:pt>
                <c:pt idx="7">
                  <c:v>Financial Operations and Oversight</c:v>
                </c:pt>
                <c:pt idx="8">
                  <c:v>Data and Analysis</c:v>
                </c:pt>
              </c:strCache>
            </c:strRef>
          </c:cat>
          <c:val>
            <c:numRef>
              <c:f>Sheet1!$C$2:$C$11</c:f>
              <c:numCache>
                <c:formatCode>0%</c:formatCode>
                <c:ptCount val="10"/>
                <c:pt idx="0">
                  <c:v>0.69</c:v>
                </c:pt>
                <c:pt idx="1">
                  <c:v>0.9</c:v>
                </c:pt>
                <c:pt idx="2">
                  <c:v>0.82</c:v>
                </c:pt>
                <c:pt idx="3">
                  <c:v>0.8</c:v>
                </c:pt>
                <c:pt idx="4">
                  <c:v>0.73</c:v>
                </c:pt>
                <c:pt idx="5">
                  <c:v>0.63</c:v>
                </c:pt>
                <c:pt idx="6">
                  <c:v>0.73</c:v>
                </c:pt>
                <c:pt idx="7">
                  <c:v>0.86</c:v>
                </c:pt>
                <c:pt idx="8">
                  <c:v>0.92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337216"/>
        <c:axId val="43338752"/>
      </c:barChart>
      <c:catAx>
        <c:axId val="43337216"/>
        <c:scaling>
          <c:orientation val="maxMin"/>
        </c:scaling>
        <c:delete val="0"/>
        <c:axPos val="l"/>
        <c:majorTickMark val="none"/>
        <c:minorTickMark val="none"/>
        <c:tickLblPos val="nextTo"/>
        <c:txPr>
          <a:bodyPr rot="0" vert="horz" anchor="t" anchorCtr="0"/>
          <a:lstStyle/>
          <a:p>
            <a:pPr>
              <a:defRPr/>
            </a:pPr>
            <a:endParaRPr lang="en-US"/>
          </a:p>
        </c:txPr>
        <c:crossAx val="43338752"/>
        <c:crosses val="autoZero"/>
        <c:auto val="0"/>
        <c:lblAlgn val="ctr"/>
        <c:lblOffset val="100"/>
        <c:noMultiLvlLbl val="0"/>
      </c:catAx>
      <c:valAx>
        <c:axId val="43338752"/>
        <c:scaling>
          <c:orientation val="minMax"/>
          <c:max val="1"/>
        </c:scaling>
        <c:delete val="0"/>
        <c:axPos val="t"/>
        <c:majorGridlines/>
        <c:numFmt formatCode="0%" sourceLinked="1"/>
        <c:majorTickMark val="none"/>
        <c:minorTickMark val="none"/>
        <c:tickLblPos val="high"/>
        <c:crossAx val="43337216"/>
        <c:crosses val="autoZero"/>
        <c:crossBetween val="between"/>
      </c:valAx>
      <c:spPr>
        <a:ln>
          <a:solidFill>
            <a:sysClr val="windowText" lastClr="000000"/>
          </a:solidFill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5F0A833E4EE46AFE060032B39C377" ma:contentTypeVersion="0" ma:contentTypeDescription="Create a new document." ma:contentTypeScope="" ma:versionID="d1735f3b575138738ab80802017730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2E992B-7A37-42A9-8F1C-D4D6DF231BDA}"/>
</file>

<file path=customXml/itemProps2.xml><?xml version="1.0" encoding="utf-8"?>
<ds:datastoreItem xmlns:ds="http://schemas.openxmlformats.org/officeDocument/2006/customXml" ds:itemID="{8A4022EE-D0F6-44FD-B9D8-1B828F1100CE}"/>
</file>

<file path=customXml/itemProps3.xml><?xml version="1.0" encoding="utf-8"?>
<ds:datastoreItem xmlns:ds="http://schemas.openxmlformats.org/officeDocument/2006/customXml" ds:itemID="{1B26DB0A-843A-4260-9FD9-EE579FD0A0F6}"/>
</file>

<file path=customXml/itemProps4.xml><?xml version="1.0" encoding="utf-8"?>
<ds:datastoreItem xmlns:ds="http://schemas.openxmlformats.org/officeDocument/2006/customXml" ds:itemID="{97909093-C3EF-407A-84F6-381089669B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Hassett</dc:creator>
  <cp:lastModifiedBy>Roneika Carr</cp:lastModifiedBy>
  <cp:revision>4</cp:revision>
  <dcterms:created xsi:type="dcterms:W3CDTF">2017-06-19T20:05:00Z</dcterms:created>
  <dcterms:modified xsi:type="dcterms:W3CDTF">2017-06-26T15:16:00Z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0x0101002895F0A833E4EE46AFE060032B39C377</vt:lpwstr>
  </property>
</Properties>
</file>